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151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380"/>
        <w:gridCol w:w="5138"/>
      </w:tblGrid>
      <w:tr>
        <w:tblPrEx/>
        <w:trPr/>
        <w:tc>
          <w:tcPr>
            <w:tcW w:w="6380" w:type="dxa"/>
            <w:textDirection w:val="lrTb"/>
            <w:noWrap w:val="false"/>
          </w:tcPr>
          <w:p>
            <w:pPr>
              <w:jc w:val="right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5138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УТВЕРЖДАЮ: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Директор ПО «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Тываэнергосбыт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»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АО «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Россети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Сибирь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Тываэнерго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» 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________________ Е.С. Гладкова «___»___________ 20__ г.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</w:tr>
    </w:tbl>
    <w:p>
      <w:pPr>
        <w:spacing w:after="0" w:line="240" w:lineRule="auto"/>
        <w:tabs>
          <w:tab w:val="left" w:pos="6804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spacing w:after="0" w:line="240" w:lineRule="auto"/>
        <w:tabs>
          <w:tab w:val="left" w:pos="6804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ТЕХНИЧЕСКОЕ ЗАДАНИЕ 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 проведение закупки на поставку мебели для нужд ПО «</w:t>
      </w:r>
      <w:r>
        <w:rPr>
          <w:rFonts w:ascii="Times New Roman" w:hAnsi="Times New Roman"/>
          <w:sz w:val="26"/>
          <w:szCs w:val="26"/>
        </w:rPr>
        <w:t xml:space="preserve">Тываэнергосбыт</w:t>
      </w:r>
      <w:r>
        <w:rPr>
          <w:rFonts w:ascii="Times New Roman" w:hAnsi="Times New Roman"/>
          <w:sz w:val="26"/>
          <w:szCs w:val="26"/>
        </w:rPr>
        <w:t xml:space="preserve">»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left="708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1. Общие положения.</w:t>
      </w: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 </w:t>
      </w:r>
      <w:r>
        <w:rPr>
          <w:rFonts w:ascii="Times New Roman" w:hAnsi="Times New Roman"/>
          <w:sz w:val="26"/>
          <w:szCs w:val="26"/>
        </w:rPr>
        <w:t xml:space="preserve">Заказчик:АО</w:t>
      </w:r>
      <w:r>
        <w:rPr>
          <w:rFonts w:ascii="Times New Roman" w:hAnsi="Times New Roman"/>
          <w:sz w:val="26"/>
          <w:szCs w:val="26"/>
        </w:rPr>
        <w:t xml:space="preserve"> «</w:t>
      </w:r>
      <w:r>
        <w:rPr>
          <w:rFonts w:ascii="Times New Roman" w:hAnsi="Times New Roman"/>
          <w:sz w:val="26"/>
          <w:szCs w:val="26"/>
        </w:rPr>
        <w:t xml:space="preserve">Россети</w:t>
      </w:r>
      <w:r>
        <w:rPr>
          <w:rFonts w:ascii="Times New Roman" w:hAnsi="Times New Roman"/>
          <w:sz w:val="26"/>
          <w:szCs w:val="26"/>
        </w:rPr>
        <w:t xml:space="preserve"> Сибирь </w:t>
      </w:r>
      <w:r>
        <w:rPr>
          <w:rFonts w:ascii="Times New Roman" w:hAnsi="Times New Roman"/>
          <w:sz w:val="26"/>
          <w:szCs w:val="26"/>
        </w:rPr>
        <w:t xml:space="preserve">Тываэнерго</w:t>
      </w:r>
      <w:r>
        <w:rPr>
          <w:rFonts w:ascii="Times New Roman" w:hAnsi="Times New Roman"/>
          <w:sz w:val="26"/>
          <w:szCs w:val="26"/>
        </w:rPr>
        <w:t xml:space="preserve">».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1.2 Предмет закупки: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поставка мебели.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2. Место, срок и условия поставки мебели.</w:t>
      </w: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2.1 Место поставки: Центральный склад АО «</w:t>
      </w:r>
      <w:r>
        <w:rPr>
          <w:rFonts w:ascii="Times New Roman" w:hAnsi="Times New Roman"/>
          <w:sz w:val="26"/>
          <w:szCs w:val="26"/>
        </w:rPr>
        <w:t xml:space="preserve">Россети</w:t>
      </w:r>
      <w:r>
        <w:rPr>
          <w:rFonts w:ascii="Times New Roman" w:hAnsi="Times New Roman"/>
          <w:sz w:val="26"/>
          <w:szCs w:val="26"/>
        </w:rPr>
        <w:t xml:space="preserve"> Сибирь </w:t>
      </w:r>
      <w:r>
        <w:rPr>
          <w:rFonts w:ascii="Times New Roman" w:hAnsi="Times New Roman"/>
          <w:sz w:val="26"/>
          <w:szCs w:val="26"/>
        </w:rPr>
        <w:t xml:space="preserve">Тываэнерго</w:t>
      </w:r>
      <w:r>
        <w:rPr>
          <w:rFonts w:ascii="Times New Roman" w:hAnsi="Times New Roman"/>
          <w:sz w:val="26"/>
          <w:szCs w:val="26"/>
        </w:rPr>
        <w:t xml:space="preserve">» 667004 г. Кызыл ул. Колхозная, 2Б.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 xml:space="preserve">2.2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Поставка продукции осуществляется транспортным средством поставщика до склада заказчика.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Упаковка, маркировка, условия транспортирования, требования к выбору вида транспортных средств, условия и сроки хранения всех устройств, запасных частей, расходных мат</w:t>
      </w:r>
      <w:r>
        <w:rPr>
          <w:rFonts w:ascii="Times New Roman" w:hAnsi="Times New Roman"/>
          <w:sz w:val="26"/>
          <w:szCs w:val="26"/>
        </w:rPr>
        <w:t xml:space="preserve">ериалов и документации должны соответствовать требованиям, указанным в технических условиях изготовителя изделия, требованиям ГОСТ 16371-2014 и др. нормативно-технической документации. Порядок отгрузки, специальные требования к таре и упаковке должны быть </w:t>
      </w:r>
      <w:r>
        <w:rPr>
          <w:rFonts w:ascii="Times New Roman" w:hAnsi="Times New Roman"/>
          <w:sz w:val="26"/>
          <w:szCs w:val="26"/>
        </w:rPr>
        <w:t xml:space="preserve">определены в договоре на поставку продукции. 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6"/>
          <w:szCs w:val="26"/>
          <w:highlight w:val="white"/>
        </w:rPr>
      </w:pPr>
      <w:r>
        <w:rPr>
          <w:rFonts w:ascii="Times New Roman" w:hAnsi="Times New Roman"/>
          <w:sz w:val="26"/>
          <w:szCs w:val="26"/>
        </w:rPr>
        <w:t xml:space="preserve">2.3 </w:t>
      </w:r>
      <w:r>
        <w:rPr>
          <w:rFonts w:ascii="Times New Roman" w:hAnsi="Times New Roman"/>
          <w:sz w:val="26"/>
          <w:szCs w:val="26"/>
          <w:highlight w:val="white"/>
        </w:rPr>
      </w:r>
      <w:r>
        <w:rPr>
          <w:rFonts w:ascii="Times New Roman" w:hAnsi="Times New Roman"/>
          <w:sz w:val="26"/>
          <w:szCs w:val="26"/>
          <w:highlight w:val="white"/>
        </w:rPr>
        <w:t xml:space="preserve">Поставка осуществляется партиями </w:t>
      </w:r>
      <w:r>
        <w:rPr>
          <w:rFonts w:ascii="Times New Roman" w:hAnsi="Times New Roman"/>
          <w:sz w:val="26"/>
          <w:szCs w:val="26"/>
          <w:highlight w:val="white"/>
        </w:rPr>
        <w:t xml:space="preserve">по заявкам Покупателя. Подача заявок осуществляется </w:t>
      </w:r>
      <w:r>
        <w:rPr>
          <w:rFonts w:ascii="Times New Roman" w:hAnsi="Times New Roman"/>
          <w:sz w:val="26"/>
          <w:szCs w:val="26"/>
          <w:highlight w:val="white"/>
        </w:rPr>
        <w:t xml:space="preserve">в течение </w:t>
      </w:r>
      <w:r>
        <w:rPr>
          <w:rFonts w:ascii="Times New Roman" w:hAnsi="Times New Roman"/>
          <w:sz w:val="26"/>
          <w:szCs w:val="26"/>
          <w:highlight w:val="white"/>
          <w:lang w:val="en-US"/>
        </w:rPr>
        <w:t xml:space="preserve">90</w:t>
      </w:r>
      <w:r>
        <w:rPr>
          <w:rFonts w:ascii="Times New Roman" w:hAnsi="Times New Roman"/>
          <w:sz w:val="26"/>
          <w:szCs w:val="26"/>
          <w:highlight w:val="white"/>
        </w:rPr>
        <w:t xml:space="preserve"> календарных дней</w:t>
      </w:r>
      <w:r>
        <w:rPr>
          <w:rFonts w:ascii="Times New Roman" w:hAnsi="Times New Roman"/>
          <w:sz w:val="26"/>
          <w:szCs w:val="26"/>
          <w:highlight w:val="white"/>
        </w:rPr>
        <w:t xml:space="preserve"> с даты заключения договора</w:t>
      </w:r>
      <w:r>
        <w:rPr>
          <w:rFonts w:ascii="Times New Roman" w:hAnsi="Times New Roman"/>
          <w:sz w:val="26"/>
          <w:szCs w:val="26"/>
          <w:highlight w:val="white"/>
        </w:rPr>
        <w:t xml:space="preserve">.</w:t>
      </w:r>
      <w:r>
        <w:rPr>
          <w:highlight w:val="white"/>
        </w:rPr>
      </w:r>
      <w:r>
        <w:rPr>
          <w:highlight w:val="white"/>
        </w:rPr>
      </w:r>
      <w:r>
        <w:rPr>
          <w:rFonts w:ascii="Times New Roman" w:hAnsi="Times New Roman"/>
          <w:sz w:val="26"/>
          <w:szCs w:val="26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highlight w:val="white"/>
        </w:rPr>
        <w:t xml:space="preserve">Срок поставки отдельной партии Продукции согласовывается в заявках Покупателя на поставку Продукции. Заявка на поставку Продукции подается не позднее, чем за 30 (тридцать) календарных дней до планируемого срока поставки</w:t>
      </w:r>
      <w:r>
        <w:rPr>
          <w:rFonts w:ascii="Times New Roman" w:hAnsi="Times New Roman"/>
          <w:sz w:val="26"/>
          <w:szCs w:val="26"/>
          <w:highlight w:val="white"/>
        </w:rPr>
        <w:t xml:space="preserve">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3. Цена, перечень и объемы поставки </w:t>
      </w:r>
      <w:r>
        <w:rPr>
          <w:rFonts w:ascii="Times New Roman" w:hAnsi="Times New Roman"/>
          <w:b/>
          <w:sz w:val="26"/>
          <w:szCs w:val="26"/>
        </w:rPr>
        <w:t xml:space="preserve">мебели</w:t>
      </w:r>
      <w:r>
        <w:rPr>
          <w:rFonts w:ascii="Times New Roman" w:hAnsi="Times New Roman"/>
          <w:b/>
          <w:bCs/>
          <w:sz w:val="26"/>
          <w:szCs w:val="26"/>
        </w:rPr>
        <w:t xml:space="preserve">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3.1  Цена, перечень и объемы поставки </w:t>
      </w:r>
      <w:r>
        <w:rPr>
          <w:rFonts w:ascii="Times New Roman" w:hAnsi="Times New Roman"/>
          <w:sz w:val="26"/>
          <w:szCs w:val="26"/>
        </w:rPr>
        <w:t xml:space="preserve">указаны в приложении 1.</w:t>
      </w:r>
      <w:r>
        <w:rPr>
          <w:rFonts w:ascii="Times New Roman" w:hAnsi="Times New Roman"/>
          <w:bCs/>
          <w:sz w:val="26"/>
          <w:szCs w:val="26"/>
        </w:rPr>
      </w:r>
      <w:r>
        <w:rPr>
          <w:rFonts w:ascii="Times New Roman" w:hAnsi="Times New Roman"/>
          <w:bCs/>
          <w:sz w:val="26"/>
          <w:szCs w:val="26"/>
        </w:rPr>
      </w:r>
    </w:p>
    <w:p>
      <w:pPr>
        <w:jc w:val="both"/>
        <w:spacing w:after="0" w:line="240" w:lineRule="auto"/>
        <w:shd w:val="clear" w:color="auto" w:fill="ffffff"/>
        <w:tabs>
          <w:tab w:val="left" w:pos="709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3.2 Цена продукции вклю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чает в себя: все налоги, сборы, отчисления и другие платежи, включая таможенные платежи и сборы, расходы на транспортировку продукции до места поставки, стоимость тары и упаковки,</w:t>
      </w:r>
      <w:r>
        <w:rPr>
          <w:rFonts w:ascii="Times New Roman" w:hAnsi="Times New Roman" w:eastAsia="Times New Roman"/>
          <w:sz w:val="26"/>
          <w:szCs w:val="26"/>
          <w:highlight w:val="white"/>
          <w:lang w:eastAsia="ru-RU"/>
        </w:rPr>
        <w:t xml:space="preserve"> сборку, регулировку,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гарантийные обязательства</w:t>
      </w:r>
      <w:r>
        <w:rPr>
          <w:rFonts w:ascii="Times New Roman" w:hAnsi="Times New Roman" w:eastAsia="Times New Roman"/>
          <w:i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4. Общие требования к поставляемой продукции.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4.1 Поставляемая продукция должна быть изготовлена в год поставки или предшествующий ему.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4.2 </w:t>
      </w:r>
      <w:r>
        <w:rPr>
          <w:rFonts w:ascii="Times New Roman" w:hAnsi="Times New Roman" w:eastAsia="Times New Roman"/>
          <w:sz w:val="26"/>
          <w:szCs w:val="26"/>
        </w:rPr>
        <w:t xml:space="preserve">Продукция должна быть ранее не использованной, и не подверженная ремонту или восстановлению.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i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4.3 Продукция должна сн</w:t>
      </w:r>
      <w:r>
        <w:rPr>
          <w:rFonts w:ascii="Times New Roman" w:hAnsi="Times New Roman" w:eastAsia="Times New Roman"/>
          <w:sz w:val="26"/>
          <w:szCs w:val="26"/>
        </w:rPr>
        <w:t xml:space="preserve">абжаться идентифицирующей и информационной маркировкой, обеспечивающей потребителя полной информацией о продукции:</w:t>
      </w:r>
      <w:r>
        <w:rPr>
          <w:rFonts w:ascii="Times New Roman" w:hAnsi="Times New Roman" w:eastAsia="Times New Roman"/>
          <w:i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  <w:t xml:space="preserve">наименование изготовителя</w:t>
      </w:r>
      <w:r>
        <w:rPr>
          <w:rFonts w:ascii="Times New Roman" w:hAnsi="Times New Roman" w:eastAsia="Times New Roman"/>
          <w:i/>
          <w:sz w:val="26"/>
          <w:szCs w:val="26"/>
        </w:rPr>
        <w:t xml:space="preserve">, </w:t>
      </w:r>
      <w:r>
        <w:rPr>
          <w:rFonts w:ascii="Times New Roman" w:hAnsi="Times New Roman" w:eastAsia="Times New Roman"/>
          <w:sz w:val="26"/>
          <w:szCs w:val="26"/>
        </w:rPr>
        <w:t xml:space="preserve">номер партии, дата изготовления, срок годности, дата выпуска, состав и т.д.</w:t>
      </w:r>
      <w:r>
        <w:rPr>
          <w:rFonts w:ascii="Times New Roman" w:hAnsi="Times New Roman" w:eastAsia="Times New Roman"/>
          <w:i/>
          <w:sz w:val="26"/>
          <w:szCs w:val="26"/>
        </w:rPr>
      </w:r>
      <w:r>
        <w:rPr>
          <w:rFonts w:ascii="Times New Roman" w:hAnsi="Times New Roman" w:eastAsia="Times New Roman"/>
          <w:i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Маркировка должна располагаться на про</w:t>
      </w:r>
      <w:r>
        <w:rPr>
          <w:rFonts w:ascii="Times New Roman" w:hAnsi="Times New Roman" w:eastAsia="Times New Roman"/>
          <w:sz w:val="26"/>
          <w:szCs w:val="26"/>
        </w:rPr>
        <w:t xml:space="preserve">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4.4 Продукция должна обеспечиваться необходимой техни</w:t>
      </w:r>
      <w:r>
        <w:rPr>
          <w:rFonts w:ascii="Times New Roman" w:hAnsi="Times New Roman" w:eastAsia="Times New Roman"/>
          <w:sz w:val="26"/>
          <w:szCs w:val="26"/>
        </w:rPr>
        <w:t xml:space="preserve">ческой документацией на русском языке: паспорт изделия, инструкция по эксплуатации.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sz w:val="26"/>
          <w:szCs w:val="26"/>
        </w:rPr>
      </w:pPr>
      <w:r/>
      <w:bookmarkStart w:id="0" w:name="_GoBack"/>
      <w:r/>
      <w:bookmarkEnd w:id="0"/>
      <w:r>
        <w:rPr>
          <w:rFonts w:ascii="Times New Roman" w:hAnsi="Times New Roman"/>
          <w:b/>
          <w:sz w:val="26"/>
          <w:szCs w:val="26"/>
        </w:rPr>
        <w:t xml:space="preserve">5. Гарантийные обязательства.</w:t>
      </w:r>
      <w:r>
        <w:rPr>
          <w:rFonts w:ascii="Times New Roman" w:hAnsi="Times New Roman"/>
          <w:b/>
          <w:sz w:val="26"/>
          <w:szCs w:val="26"/>
        </w:rPr>
      </w:r>
      <w:r>
        <w:rPr>
          <w:rFonts w:ascii="Times New Roman" w:hAnsi="Times New Roman"/>
          <w:b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Срок гарантии на поставляемую продукцию должен быть не менее 18 месяцев. Время начала исчисления гарантийного срока – с момента приемки проду</w:t>
      </w:r>
      <w:r>
        <w:rPr>
          <w:rFonts w:ascii="Times New Roman" w:hAnsi="Times New Roman" w:eastAsia="Times New Roman"/>
          <w:sz w:val="26"/>
          <w:szCs w:val="26"/>
        </w:rPr>
        <w:t xml:space="preserve">кции Заказчиком.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contextualSpacing/>
        <w:ind w:firstLine="709"/>
        <w:jc w:val="both"/>
        <w:spacing w:after="0" w:line="240" w:lineRule="auto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6. Правила приемки продукции.</w:t>
      </w: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Вся поставляемая продукция проходит входной контроль, осуществляемый представителями филиала АО «</w:t>
      </w:r>
      <w:r>
        <w:rPr>
          <w:rFonts w:ascii="Times New Roman" w:hAnsi="Times New Roman"/>
          <w:sz w:val="26"/>
          <w:szCs w:val="26"/>
        </w:rPr>
        <w:t xml:space="preserve">Россети</w:t>
      </w:r>
      <w:r>
        <w:rPr>
          <w:rFonts w:ascii="Times New Roman" w:hAnsi="Times New Roman"/>
          <w:sz w:val="26"/>
          <w:szCs w:val="26"/>
        </w:rPr>
        <w:t xml:space="preserve"> Сибирь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Тываэнерго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» при получении на склад.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Приемка продукции по качеству производится в соответствии законодательством Российской Федерации (ст.513 ГК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РФ) и условиям настоящего Договора.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Приемка продукции по количеству производится в соответствии законодательством Российской Федерации (ст.513 ГК РФ) и условиям настоящего Договора.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При приемке продукции осуществляется: 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–    внешний осмотр тары и упаковки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; 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– проверку соответствия количества отгруженных и поступивших поставочных мест; 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– проверку соответствия содержимого упаковочным листам и характеристикам, указанным в товаросопроводительной документации. 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tbl>
      <w:tblPr>
        <w:tblW w:w="103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4678"/>
        <w:gridCol w:w="1559"/>
        <w:gridCol w:w="1984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№ п/п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Дата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7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Должность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Подпись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ФИО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78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Начальник управления административно-ресурсного обеспечения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Герасимов Виталий Сергеевич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78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Начальник отдела логистики и МТО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eastAsiaTheme="minorHAnsi" w:cstheme="minorBidi"/>
                <w:sz w:val="26"/>
                <w:szCs w:val="26"/>
              </w:rPr>
              <w:t xml:space="preserve">Шмидгаль</w:t>
            </w:r>
            <w:r>
              <w:rPr>
                <w:rFonts w:ascii="Times New Roman" w:hAnsi="Times New Roman" w:eastAsiaTheme="minorHAnsi" w:cstheme="minorBidi"/>
                <w:sz w:val="26"/>
                <w:szCs w:val="26"/>
              </w:rPr>
              <w:t xml:space="preserve"> Алена Юрьевна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3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78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Начальник ОУД ПО «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Тываэнергосбыт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»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Фирсова Екатерина Александровна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</w:tr>
    </w:tbl>
    <w:p>
      <w:pPr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sectPr>
      <w:footnotePr/>
      <w:endnotePr/>
      <w:type w:val="nextPage"/>
      <w:pgSz w:w="11906" w:h="16838" w:orient="portrait"/>
      <w:pgMar w:top="1134" w:right="850" w:bottom="1134" w:left="85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7"/>
      <w:numFmt w:val="decimal"/>
      <w:isLgl w:val="false"/>
      <w:suff w:val="tab"/>
      <w:lvlText w:val="%1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6.%2"/>
      <w:lvlJc w:val="left"/>
      <w:pPr>
        <w:ind w:left="1130" w:hanging="360"/>
        <w:tabs>
          <w:tab w:val="num" w:pos="113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160" w:hanging="720"/>
        <w:tabs>
          <w:tab w:val="num" w:pos="216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880" w:hanging="720"/>
        <w:tabs>
          <w:tab w:val="num" w:pos="288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60" w:hanging="1080"/>
        <w:tabs>
          <w:tab w:val="num" w:pos="396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680" w:hanging="1080"/>
        <w:tabs>
          <w:tab w:val="num" w:pos="46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760" w:hanging="1440"/>
        <w:tabs>
          <w:tab w:val="num" w:pos="57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480" w:hanging="1440"/>
        <w:tabs>
          <w:tab w:val="num" w:pos="64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560" w:hanging="1800"/>
        <w:tabs>
          <w:tab w:val="num" w:pos="7560" w:leader="none"/>
        </w:tabs>
      </w:pPr>
      <w:rPr>
        <w:rFonts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9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39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1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29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6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19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60">
    <w:name w:val="Heading 1 Char"/>
    <w:basedOn w:val="687"/>
    <w:link w:val="678"/>
    <w:uiPriority w:val="9"/>
    <w:rPr>
      <w:rFonts w:ascii="Arial" w:hAnsi="Arial" w:eastAsia="Arial" w:cs="Arial"/>
      <w:sz w:val="40"/>
      <w:szCs w:val="40"/>
    </w:rPr>
  </w:style>
  <w:style w:type="character" w:styleId="661">
    <w:name w:val="Heading 2 Char"/>
    <w:basedOn w:val="687"/>
    <w:link w:val="679"/>
    <w:uiPriority w:val="9"/>
    <w:rPr>
      <w:rFonts w:ascii="Arial" w:hAnsi="Arial" w:eastAsia="Arial" w:cs="Arial"/>
      <w:sz w:val="34"/>
    </w:rPr>
  </w:style>
  <w:style w:type="character" w:styleId="662">
    <w:name w:val="Heading 3 Char"/>
    <w:basedOn w:val="687"/>
    <w:link w:val="680"/>
    <w:uiPriority w:val="9"/>
    <w:rPr>
      <w:rFonts w:ascii="Arial" w:hAnsi="Arial" w:eastAsia="Arial" w:cs="Arial"/>
      <w:sz w:val="30"/>
      <w:szCs w:val="30"/>
    </w:rPr>
  </w:style>
  <w:style w:type="character" w:styleId="663">
    <w:name w:val="Heading 4 Char"/>
    <w:basedOn w:val="687"/>
    <w:link w:val="681"/>
    <w:uiPriority w:val="9"/>
    <w:rPr>
      <w:rFonts w:ascii="Arial" w:hAnsi="Arial" w:eastAsia="Arial" w:cs="Arial"/>
      <w:b/>
      <w:bCs/>
      <w:sz w:val="26"/>
      <w:szCs w:val="26"/>
    </w:rPr>
  </w:style>
  <w:style w:type="character" w:styleId="664">
    <w:name w:val="Heading 5 Char"/>
    <w:basedOn w:val="687"/>
    <w:link w:val="682"/>
    <w:uiPriority w:val="9"/>
    <w:rPr>
      <w:rFonts w:ascii="Arial" w:hAnsi="Arial" w:eastAsia="Arial" w:cs="Arial"/>
      <w:b/>
      <w:bCs/>
      <w:sz w:val="24"/>
      <w:szCs w:val="24"/>
    </w:rPr>
  </w:style>
  <w:style w:type="character" w:styleId="665">
    <w:name w:val="Heading 6 Char"/>
    <w:basedOn w:val="687"/>
    <w:link w:val="683"/>
    <w:uiPriority w:val="9"/>
    <w:rPr>
      <w:rFonts w:ascii="Arial" w:hAnsi="Arial" w:eastAsia="Arial" w:cs="Arial"/>
      <w:b/>
      <w:bCs/>
      <w:sz w:val="22"/>
      <w:szCs w:val="22"/>
    </w:rPr>
  </w:style>
  <w:style w:type="character" w:styleId="666">
    <w:name w:val="Heading 7 Char"/>
    <w:basedOn w:val="687"/>
    <w:link w:val="68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8 Char"/>
    <w:basedOn w:val="687"/>
    <w:link w:val="685"/>
    <w:uiPriority w:val="9"/>
    <w:rPr>
      <w:rFonts w:ascii="Arial" w:hAnsi="Arial" w:eastAsia="Arial" w:cs="Arial"/>
      <w:i/>
      <w:iCs/>
      <w:sz w:val="22"/>
      <w:szCs w:val="22"/>
    </w:rPr>
  </w:style>
  <w:style w:type="character" w:styleId="668">
    <w:name w:val="Heading 9 Char"/>
    <w:basedOn w:val="687"/>
    <w:link w:val="686"/>
    <w:uiPriority w:val="9"/>
    <w:rPr>
      <w:rFonts w:ascii="Arial" w:hAnsi="Arial" w:eastAsia="Arial" w:cs="Arial"/>
      <w:i/>
      <w:iCs/>
      <w:sz w:val="21"/>
      <w:szCs w:val="21"/>
    </w:rPr>
  </w:style>
  <w:style w:type="character" w:styleId="669">
    <w:name w:val="Title Char"/>
    <w:basedOn w:val="687"/>
    <w:link w:val="700"/>
    <w:uiPriority w:val="10"/>
    <w:rPr>
      <w:sz w:val="48"/>
      <w:szCs w:val="48"/>
    </w:rPr>
  </w:style>
  <w:style w:type="character" w:styleId="670">
    <w:name w:val="Subtitle Char"/>
    <w:basedOn w:val="687"/>
    <w:link w:val="702"/>
    <w:uiPriority w:val="11"/>
    <w:rPr>
      <w:sz w:val="24"/>
      <w:szCs w:val="24"/>
    </w:rPr>
  </w:style>
  <w:style w:type="character" w:styleId="671">
    <w:name w:val="Quote Char"/>
    <w:link w:val="704"/>
    <w:uiPriority w:val="29"/>
    <w:rPr>
      <w:i/>
    </w:rPr>
  </w:style>
  <w:style w:type="character" w:styleId="672">
    <w:name w:val="Intense Quote Char"/>
    <w:link w:val="706"/>
    <w:uiPriority w:val="30"/>
    <w:rPr>
      <w:i/>
    </w:rPr>
  </w:style>
  <w:style w:type="character" w:styleId="673">
    <w:name w:val="Header Char"/>
    <w:basedOn w:val="687"/>
    <w:link w:val="708"/>
    <w:uiPriority w:val="99"/>
  </w:style>
  <w:style w:type="character" w:styleId="674">
    <w:name w:val="Caption Char"/>
    <w:basedOn w:val="712"/>
    <w:link w:val="710"/>
    <w:uiPriority w:val="99"/>
  </w:style>
  <w:style w:type="character" w:styleId="675">
    <w:name w:val="Footnote Text Char"/>
    <w:link w:val="840"/>
    <w:uiPriority w:val="99"/>
    <w:rPr>
      <w:sz w:val="18"/>
    </w:rPr>
  </w:style>
  <w:style w:type="character" w:styleId="676">
    <w:name w:val="Endnote Text Char"/>
    <w:link w:val="843"/>
    <w:uiPriority w:val="99"/>
    <w:rPr>
      <w:sz w:val="20"/>
    </w:rPr>
  </w:style>
  <w:style w:type="paragraph" w:styleId="677" w:default="1">
    <w:name w:val="Normal"/>
    <w:qFormat/>
    <w:rPr>
      <w:rFonts w:ascii="Calibri" w:hAnsi="Calibri" w:eastAsia="Calibri" w:cs="Times New Roman"/>
    </w:rPr>
  </w:style>
  <w:style w:type="paragraph" w:styleId="678">
    <w:name w:val="Heading 1"/>
    <w:basedOn w:val="677"/>
    <w:next w:val="677"/>
    <w:link w:val="690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79">
    <w:name w:val="Heading 2"/>
    <w:basedOn w:val="677"/>
    <w:next w:val="677"/>
    <w:link w:val="691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80">
    <w:name w:val="Heading 3"/>
    <w:basedOn w:val="677"/>
    <w:next w:val="677"/>
    <w:link w:val="692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81">
    <w:name w:val="Heading 4"/>
    <w:basedOn w:val="677"/>
    <w:next w:val="677"/>
    <w:link w:val="693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82">
    <w:name w:val="Heading 5"/>
    <w:basedOn w:val="677"/>
    <w:next w:val="677"/>
    <w:link w:val="694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83">
    <w:name w:val="Heading 6"/>
    <w:basedOn w:val="677"/>
    <w:next w:val="677"/>
    <w:link w:val="695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84">
    <w:name w:val="Heading 7"/>
    <w:basedOn w:val="677"/>
    <w:next w:val="677"/>
    <w:link w:val="696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85">
    <w:name w:val="Heading 8"/>
    <w:basedOn w:val="677"/>
    <w:next w:val="677"/>
    <w:link w:val="697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86">
    <w:name w:val="Heading 9"/>
    <w:basedOn w:val="677"/>
    <w:next w:val="677"/>
    <w:link w:val="698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7" w:default="1">
    <w:name w:val="Default Paragraph Font"/>
    <w:uiPriority w:val="1"/>
    <w:semiHidden/>
    <w:unhideWhenUsed/>
  </w:style>
  <w:style w:type="table" w:styleId="68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9" w:default="1">
    <w:name w:val="No List"/>
    <w:uiPriority w:val="99"/>
    <w:semiHidden/>
    <w:unhideWhenUsed/>
  </w:style>
  <w:style w:type="character" w:styleId="690" w:customStyle="1">
    <w:name w:val="Заголовок 1 Знак"/>
    <w:basedOn w:val="687"/>
    <w:link w:val="678"/>
    <w:uiPriority w:val="9"/>
    <w:rPr>
      <w:rFonts w:ascii="Arial" w:hAnsi="Arial" w:eastAsia="Arial" w:cs="Arial"/>
      <w:sz w:val="40"/>
      <w:szCs w:val="40"/>
    </w:rPr>
  </w:style>
  <w:style w:type="character" w:styleId="691" w:customStyle="1">
    <w:name w:val="Заголовок 2 Знак"/>
    <w:basedOn w:val="687"/>
    <w:link w:val="679"/>
    <w:uiPriority w:val="9"/>
    <w:rPr>
      <w:rFonts w:ascii="Arial" w:hAnsi="Arial" w:eastAsia="Arial" w:cs="Arial"/>
      <w:sz w:val="34"/>
    </w:rPr>
  </w:style>
  <w:style w:type="character" w:styleId="692" w:customStyle="1">
    <w:name w:val="Заголовок 3 Знак"/>
    <w:basedOn w:val="687"/>
    <w:link w:val="680"/>
    <w:uiPriority w:val="9"/>
    <w:rPr>
      <w:rFonts w:ascii="Arial" w:hAnsi="Arial" w:eastAsia="Arial" w:cs="Arial"/>
      <w:sz w:val="30"/>
      <w:szCs w:val="30"/>
    </w:rPr>
  </w:style>
  <w:style w:type="character" w:styleId="693" w:customStyle="1">
    <w:name w:val="Заголовок 4 Знак"/>
    <w:basedOn w:val="687"/>
    <w:link w:val="681"/>
    <w:uiPriority w:val="9"/>
    <w:rPr>
      <w:rFonts w:ascii="Arial" w:hAnsi="Arial" w:eastAsia="Arial" w:cs="Arial"/>
      <w:b/>
      <w:bCs/>
      <w:sz w:val="26"/>
      <w:szCs w:val="26"/>
    </w:rPr>
  </w:style>
  <w:style w:type="character" w:styleId="694" w:customStyle="1">
    <w:name w:val="Заголовок 5 Знак"/>
    <w:basedOn w:val="687"/>
    <w:link w:val="682"/>
    <w:uiPriority w:val="9"/>
    <w:rPr>
      <w:rFonts w:ascii="Arial" w:hAnsi="Arial" w:eastAsia="Arial" w:cs="Arial"/>
      <w:b/>
      <w:bCs/>
      <w:sz w:val="24"/>
      <w:szCs w:val="24"/>
    </w:rPr>
  </w:style>
  <w:style w:type="character" w:styleId="695" w:customStyle="1">
    <w:name w:val="Заголовок 6 Знак"/>
    <w:basedOn w:val="687"/>
    <w:link w:val="683"/>
    <w:uiPriority w:val="9"/>
    <w:rPr>
      <w:rFonts w:ascii="Arial" w:hAnsi="Arial" w:eastAsia="Arial" w:cs="Arial"/>
      <w:b/>
      <w:bCs/>
      <w:sz w:val="22"/>
      <w:szCs w:val="22"/>
    </w:rPr>
  </w:style>
  <w:style w:type="character" w:styleId="696" w:customStyle="1">
    <w:name w:val="Заголовок 7 Знак"/>
    <w:basedOn w:val="687"/>
    <w:link w:val="68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7" w:customStyle="1">
    <w:name w:val="Заголовок 8 Знак"/>
    <w:basedOn w:val="687"/>
    <w:link w:val="685"/>
    <w:uiPriority w:val="9"/>
    <w:rPr>
      <w:rFonts w:ascii="Arial" w:hAnsi="Arial" w:eastAsia="Arial" w:cs="Arial"/>
      <w:i/>
      <w:iCs/>
      <w:sz w:val="22"/>
      <w:szCs w:val="22"/>
    </w:rPr>
  </w:style>
  <w:style w:type="character" w:styleId="698" w:customStyle="1">
    <w:name w:val="Заголовок 9 Знак"/>
    <w:basedOn w:val="687"/>
    <w:link w:val="686"/>
    <w:uiPriority w:val="9"/>
    <w:rPr>
      <w:rFonts w:ascii="Arial" w:hAnsi="Arial" w:eastAsia="Arial" w:cs="Arial"/>
      <w:i/>
      <w:iCs/>
      <w:sz w:val="21"/>
      <w:szCs w:val="21"/>
    </w:rPr>
  </w:style>
  <w:style w:type="paragraph" w:styleId="699">
    <w:name w:val="No Spacing"/>
    <w:uiPriority w:val="1"/>
    <w:qFormat/>
    <w:pPr>
      <w:spacing w:after="0" w:line="240" w:lineRule="auto"/>
    </w:pPr>
  </w:style>
  <w:style w:type="paragraph" w:styleId="700">
    <w:name w:val="Title"/>
    <w:basedOn w:val="677"/>
    <w:next w:val="677"/>
    <w:link w:val="701"/>
    <w:uiPriority w:val="10"/>
    <w:qFormat/>
    <w:pPr>
      <w:contextualSpacing/>
      <w:spacing w:before="300"/>
    </w:pPr>
    <w:rPr>
      <w:sz w:val="48"/>
      <w:szCs w:val="48"/>
    </w:rPr>
  </w:style>
  <w:style w:type="character" w:styleId="701" w:customStyle="1">
    <w:name w:val="Название Знак"/>
    <w:basedOn w:val="687"/>
    <w:link w:val="700"/>
    <w:uiPriority w:val="10"/>
    <w:rPr>
      <w:sz w:val="48"/>
      <w:szCs w:val="48"/>
    </w:rPr>
  </w:style>
  <w:style w:type="paragraph" w:styleId="702">
    <w:name w:val="Subtitle"/>
    <w:basedOn w:val="677"/>
    <w:next w:val="677"/>
    <w:link w:val="703"/>
    <w:uiPriority w:val="11"/>
    <w:qFormat/>
    <w:pPr>
      <w:spacing w:before="200"/>
    </w:pPr>
    <w:rPr>
      <w:sz w:val="24"/>
      <w:szCs w:val="24"/>
    </w:rPr>
  </w:style>
  <w:style w:type="character" w:styleId="703" w:customStyle="1">
    <w:name w:val="Подзаголовок Знак"/>
    <w:basedOn w:val="687"/>
    <w:link w:val="702"/>
    <w:uiPriority w:val="11"/>
    <w:rPr>
      <w:sz w:val="24"/>
      <w:szCs w:val="24"/>
    </w:rPr>
  </w:style>
  <w:style w:type="paragraph" w:styleId="704">
    <w:name w:val="Quote"/>
    <w:basedOn w:val="677"/>
    <w:next w:val="677"/>
    <w:link w:val="705"/>
    <w:uiPriority w:val="29"/>
    <w:qFormat/>
    <w:pPr>
      <w:ind w:left="720" w:right="720"/>
    </w:pPr>
    <w:rPr>
      <w:i/>
    </w:rPr>
  </w:style>
  <w:style w:type="character" w:styleId="705" w:customStyle="1">
    <w:name w:val="Цитата 2 Знак"/>
    <w:link w:val="704"/>
    <w:uiPriority w:val="29"/>
    <w:rPr>
      <w:i/>
    </w:rPr>
  </w:style>
  <w:style w:type="paragraph" w:styleId="706">
    <w:name w:val="Intense Quote"/>
    <w:basedOn w:val="677"/>
    <w:next w:val="677"/>
    <w:link w:val="707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7" w:customStyle="1">
    <w:name w:val="Выделенная цитата Знак"/>
    <w:link w:val="706"/>
    <w:uiPriority w:val="30"/>
    <w:rPr>
      <w:i/>
    </w:rPr>
  </w:style>
  <w:style w:type="paragraph" w:styleId="708">
    <w:name w:val="Header"/>
    <w:basedOn w:val="677"/>
    <w:link w:val="70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9" w:customStyle="1">
    <w:name w:val="Верхний колонтитул Знак"/>
    <w:basedOn w:val="687"/>
    <w:link w:val="708"/>
    <w:uiPriority w:val="99"/>
  </w:style>
  <w:style w:type="paragraph" w:styleId="710">
    <w:name w:val="Footer"/>
    <w:basedOn w:val="677"/>
    <w:link w:val="71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1" w:customStyle="1">
    <w:name w:val="Footer Char"/>
    <w:basedOn w:val="687"/>
    <w:uiPriority w:val="99"/>
  </w:style>
  <w:style w:type="paragraph" w:styleId="712">
    <w:name w:val="Caption"/>
    <w:basedOn w:val="677"/>
    <w:next w:val="677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13" w:customStyle="1">
    <w:name w:val="Нижний колонтитул Знак"/>
    <w:link w:val="710"/>
    <w:uiPriority w:val="99"/>
  </w:style>
  <w:style w:type="table" w:styleId="714">
    <w:name w:val="Table Grid"/>
    <w:basedOn w:val="68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5" w:customStyle="1">
    <w:name w:val="Table Grid Light"/>
    <w:basedOn w:val="688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6" w:customStyle="1">
    <w:name w:val="Plain Table 1"/>
    <w:basedOn w:val="688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7" w:customStyle="1">
    <w:name w:val="Plain Table 2"/>
    <w:basedOn w:val="68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8" w:customStyle="1">
    <w:name w:val="Plain Table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9" w:customStyle="1">
    <w:name w:val="Plain Table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Plain Table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1" w:customStyle="1">
    <w:name w:val="Grid Table 1 Light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 w:customStyle="1">
    <w:name w:val="Grid Table 1 Light 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 w:customStyle="1">
    <w:name w:val="Grid Table 1 Light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 w:customStyle="1">
    <w:name w:val="Grid Table 1 Light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 w:customStyle="1">
    <w:name w:val="Grid Table 1 Light 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 w:customStyle="1">
    <w:name w:val="Grid Table 1 Light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 w:customStyle="1">
    <w:name w:val="Grid Table 1 Light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 w:customStyle="1">
    <w:name w:val="Grid Table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2 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2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2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2 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2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2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3 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3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3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3 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3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3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4"/>
    <w:basedOn w:val="6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3" w:customStyle="1">
    <w:name w:val="Grid Table 4 - Accent 1"/>
    <w:basedOn w:val="6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44" w:customStyle="1">
    <w:name w:val="Grid Table 4 - Accent 2"/>
    <w:basedOn w:val="6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45" w:customStyle="1">
    <w:name w:val="Grid Table 4 - Accent 3"/>
    <w:basedOn w:val="6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46" w:customStyle="1">
    <w:name w:val="Grid Table 4 - Accent 4"/>
    <w:basedOn w:val="6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47" w:customStyle="1">
    <w:name w:val="Grid Table 4 - Accent 5"/>
    <w:basedOn w:val="6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48" w:customStyle="1">
    <w:name w:val="Grid Table 4 - Accent 6"/>
    <w:basedOn w:val="6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49" w:customStyle="1">
    <w:name w:val="Grid Table 5 Dark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50" w:customStyle="1">
    <w:name w:val="Grid Table 5 Dark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51" w:customStyle="1">
    <w:name w:val="Grid Table 5 Dark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52" w:customStyle="1">
    <w:name w:val="Grid Table 5 Dark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53" w:customStyle="1">
    <w:name w:val="Grid Table 5 Dark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54" w:customStyle="1">
    <w:name w:val="Grid Table 5 Dark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55" w:customStyle="1">
    <w:name w:val="Grid Table 5 Dark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56" w:customStyle="1">
    <w:name w:val="Grid Table 6 Colorful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7" w:customStyle="1">
    <w:name w:val="Grid Table 6 Colorful 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58" w:customStyle="1">
    <w:name w:val="Grid Table 6 Colorful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59" w:customStyle="1">
    <w:name w:val="Grid Table 6 Colorful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60" w:customStyle="1">
    <w:name w:val="Grid Table 6 Colorful 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61" w:customStyle="1">
    <w:name w:val="Grid Table 6 Colorful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62" w:customStyle="1">
    <w:name w:val="Grid Table 6 Colorful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63" w:customStyle="1">
    <w:name w:val="Grid Table 7 Colorful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4" w:customStyle="1">
    <w:name w:val="Grid Table 7 Colorful 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5" w:customStyle="1">
    <w:name w:val="Grid Table 7 Colorful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6" w:customStyle="1">
    <w:name w:val="Grid Table 7 Colorful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7" w:customStyle="1">
    <w:name w:val="Grid Table 7 Colorful 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8" w:customStyle="1">
    <w:name w:val="Grid Table 7 Colorful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9" w:customStyle="1">
    <w:name w:val="Grid Table 7 Colorful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0" w:customStyle="1">
    <w:name w:val="List Table 1 Light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List Table 1 Light 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List Table 1 Light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List Table 1 Light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List Table 1 Light 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List Table 1 Light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List Table 1 Light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List Table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8" w:customStyle="1">
    <w:name w:val="List Table 2 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79" w:customStyle="1">
    <w:name w:val="List Table 2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80" w:customStyle="1">
    <w:name w:val="List Table 2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81" w:customStyle="1">
    <w:name w:val="List Table 2 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82" w:customStyle="1">
    <w:name w:val="List Table 2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83" w:customStyle="1">
    <w:name w:val="List Table 2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84" w:customStyle="1">
    <w:name w:val="List Table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3 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3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3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3 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3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3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4 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4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4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4 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4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4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5 Dark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9" w:customStyle="1">
    <w:name w:val="List Table 5 Dark 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0" w:customStyle="1">
    <w:name w:val="List Table 5 Dark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1" w:customStyle="1">
    <w:name w:val="List Table 5 Dark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2" w:customStyle="1">
    <w:name w:val="List Table 5 Dark 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3" w:customStyle="1">
    <w:name w:val="List Table 5 Dark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4" w:customStyle="1">
    <w:name w:val="List Table 5 Dark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5" w:customStyle="1">
    <w:name w:val="List Table 6 Colorful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6" w:customStyle="1">
    <w:name w:val="List Table 6 Colorful 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07" w:customStyle="1">
    <w:name w:val="List Table 6 Colorful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08" w:customStyle="1">
    <w:name w:val="List Table 6 Colorful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09" w:customStyle="1">
    <w:name w:val="List Table 6 Colorful 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10" w:customStyle="1">
    <w:name w:val="List Table 6 Colorful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11" w:customStyle="1">
    <w:name w:val="List Table 6 Colorful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12" w:customStyle="1">
    <w:name w:val="List Table 7 Colorful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3" w:customStyle="1">
    <w:name w:val="List Table 7 Colorful 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4" w:customStyle="1">
    <w:name w:val="List Table 7 Colorful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5" w:customStyle="1">
    <w:name w:val="List Table 7 Colorful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6" w:customStyle="1">
    <w:name w:val="List Table 7 Colorful 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7" w:customStyle="1">
    <w:name w:val="List Table 7 Colorful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8" w:customStyle="1">
    <w:name w:val="List Table 7 Colorful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9" w:customStyle="1">
    <w:name w:val="Lined - Accent"/>
    <w:basedOn w:val="68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0" w:customStyle="1">
    <w:name w:val="Lined - Accent 1"/>
    <w:basedOn w:val="68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1" w:customStyle="1">
    <w:name w:val="Lined - Accent 2"/>
    <w:basedOn w:val="68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2" w:customStyle="1">
    <w:name w:val="Lined - Accent 3"/>
    <w:basedOn w:val="68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3" w:customStyle="1">
    <w:name w:val="Lined - Accent 4"/>
    <w:basedOn w:val="68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4" w:customStyle="1">
    <w:name w:val="Lined - Accent 5"/>
    <w:basedOn w:val="68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5" w:customStyle="1">
    <w:name w:val="Lined - Accent 6"/>
    <w:basedOn w:val="68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6" w:customStyle="1">
    <w:name w:val="Bordered &amp; Lined - Accent"/>
    <w:basedOn w:val="68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7" w:customStyle="1">
    <w:name w:val="Bordered &amp; Lined - Accent 1"/>
    <w:basedOn w:val="68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8" w:customStyle="1">
    <w:name w:val="Bordered &amp; Lined - Accent 2"/>
    <w:basedOn w:val="68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9" w:customStyle="1">
    <w:name w:val="Bordered &amp; Lined - Accent 3"/>
    <w:basedOn w:val="68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30" w:customStyle="1">
    <w:name w:val="Bordered &amp; Lined - Accent 4"/>
    <w:basedOn w:val="68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31" w:customStyle="1">
    <w:name w:val="Bordered &amp; Lined - Accent 5"/>
    <w:basedOn w:val="68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32" w:customStyle="1">
    <w:name w:val="Bordered &amp; Lined - Accent 6"/>
    <w:basedOn w:val="68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33" w:customStyle="1">
    <w:name w:val="Bordered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34" w:customStyle="1">
    <w:name w:val="Bordered 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35" w:customStyle="1">
    <w:name w:val="Bordered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36" w:customStyle="1">
    <w:name w:val="Bordered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37" w:customStyle="1">
    <w:name w:val="Bordered 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38" w:customStyle="1">
    <w:name w:val="Bordered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39" w:customStyle="1">
    <w:name w:val="Bordered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40">
    <w:name w:val="footnote text"/>
    <w:basedOn w:val="677"/>
    <w:link w:val="841"/>
    <w:uiPriority w:val="99"/>
    <w:semiHidden/>
    <w:unhideWhenUsed/>
    <w:pPr>
      <w:spacing w:after="40" w:line="240" w:lineRule="auto"/>
    </w:pPr>
    <w:rPr>
      <w:sz w:val="18"/>
    </w:rPr>
  </w:style>
  <w:style w:type="character" w:styleId="841" w:customStyle="1">
    <w:name w:val="Текст сноски Знак"/>
    <w:link w:val="840"/>
    <w:uiPriority w:val="99"/>
    <w:rPr>
      <w:sz w:val="18"/>
    </w:rPr>
  </w:style>
  <w:style w:type="character" w:styleId="842">
    <w:name w:val="footnote reference"/>
    <w:basedOn w:val="687"/>
    <w:uiPriority w:val="99"/>
    <w:unhideWhenUsed/>
    <w:rPr>
      <w:vertAlign w:val="superscript"/>
    </w:rPr>
  </w:style>
  <w:style w:type="paragraph" w:styleId="843">
    <w:name w:val="endnote text"/>
    <w:basedOn w:val="677"/>
    <w:link w:val="844"/>
    <w:uiPriority w:val="99"/>
    <w:semiHidden/>
    <w:unhideWhenUsed/>
    <w:pPr>
      <w:spacing w:after="0" w:line="240" w:lineRule="auto"/>
    </w:pPr>
    <w:rPr>
      <w:sz w:val="20"/>
    </w:rPr>
  </w:style>
  <w:style w:type="character" w:styleId="844" w:customStyle="1">
    <w:name w:val="Текст концевой сноски Знак"/>
    <w:link w:val="843"/>
    <w:uiPriority w:val="99"/>
    <w:rPr>
      <w:sz w:val="20"/>
    </w:rPr>
  </w:style>
  <w:style w:type="character" w:styleId="845">
    <w:name w:val="endnote reference"/>
    <w:basedOn w:val="687"/>
    <w:uiPriority w:val="99"/>
    <w:semiHidden/>
    <w:unhideWhenUsed/>
    <w:rPr>
      <w:vertAlign w:val="superscript"/>
    </w:rPr>
  </w:style>
  <w:style w:type="paragraph" w:styleId="846">
    <w:name w:val="toc 1"/>
    <w:basedOn w:val="677"/>
    <w:next w:val="677"/>
    <w:uiPriority w:val="39"/>
    <w:unhideWhenUsed/>
    <w:pPr>
      <w:spacing w:after="57"/>
    </w:pPr>
  </w:style>
  <w:style w:type="paragraph" w:styleId="847">
    <w:name w:val="toc 2"/>
    <w:basedOn w:val="677"/>
    <w:next w:val="677"/>
    <w:uiPriority w:val="39"/>
    <w:unhideWhenUsed/>
    <w:pPr>
      <w:ind w:left="283"/>
      <w:spacing w:after="57"/>
    </w:pPr>
  </w:style>
  <w:style w:type="paragraph" w:styleId="848">
    <w:name w:val="toc 3"/>
    <w:basedOn w:val="677"/>
    <w:next w:val="677"/>
    <w:uiPriority w:val="39"/>
    <w:unhideWhenUsed/>
    <w:pPr>
      <w:ind w:left="567"/>
      <w:spacing w:after="57"/>
    </w:pPr>
  </w:style>
  <w:style w:type="paragraph" w:styleId="849">
    <w:name w:val="toc 4"/>
    <w:basedOn w:val="677"/>
    <w:next w:val="677"/>
    <w:uiPriority w:val="39"/>
    <w:unhideWhenUsed/>
    <w:pPr>
      <w:ind w:left="850"/>
      <w:spacing w:after="57"/>
    </w:pPr>
  </w:style>
  <w:style w:type="paragraph" w:styleId="850">
    <w:name w:val="toc 5"/>
    <w:basedOn w:val="677"/>
    <w:next w:val="677"/>
    <w:uiPriority w:val="39"/>
    <w:unhideWhenUsed/>
    <w:pPr>
      <w:ind w:left="1134"/>
      <w:spacing w:after="57"/>
    </w:pPr>
  </w:style>
  <w:style w:type="paragraph" w:styleId="851">
    <w:name w:val="toc 6"/>
    <w:basedOn w:val="677"/>
    <w:next w:val="677"/>
    <w:uiPriority w:val="39"/>
    <w:unhideWhenUsed/>
    <w:pPr>
      <w:ind w:left="1417"/>
      <w:spacing w:after="57"/>
    </w:pPr>
  </w:style>
  <w:style w:type="paragraph" w:styleId="852">
    <w:name w:val="toc 7"/>
    <w:basedOn w:val="677"/>
    <w:next w:val="677"/>
    <w:uiPriority w:val="39"/>
    <w:unhideWhenUsed/>
    <w:pPr>
      <w:ind w:left="1701"/>
      <w:spacing w:after="57"/>
    </w:pPr>
  </w:style>
  <w:style w:type="paragraph" w:styleId="853">
    <w:name w:val="toc 8"/>
    <w:basedOn w:val="677"/>
    <w:next w:val="677"/>
    <w:uiPriority w:val="39"/>
    <w:unhideWhenUsed/>
    <w:pPr>
      <w:ind w:left="1984"/>
      <w:spacing w:after="57"/>
    </w:pPr>
  </w:style>
  <w:style w:type="paragraph" w:styleId="854">
    <w:name w:val="toc 9"/>
    <w:basedOn w:val="677"/>
    <w:next w:val="677"/>
    <w:uiPriority w:val="39"/>
    <w:unhideWhenUsed/>
    <w:pPr>
      <w:ind w:left="2268"/>
      <w:spacing w:after="57"/>
    </w:pPr>
  </w:style>
  <w:style w:type="paragraph" w:styleId="855">
    <w:name w:val="TOC Heading"/>
    <w:uiPriority w:val="39"/>
    <w:unhideWhenUsed/>
  </w:style>
  <w:style w:type="paragraph" w:styleId="856">
    <w:name w:val="table of figures"/>
    <w:basedOn w:val="677"/>
    <w:next w:val="677"/>
    <w:uiPriority w:val="99"/>
    <w:unhideWhenUsed/>
    <w:pPr>
      <w:spacing w:after="0"/>
    </w:pPr>
  </w:style>
  <w:style w:type="paragraph" w:styleId="857">
    <w:name w:val="List Paragraph"/>
    <w:basedOn w:val="677"/>
    <w:uiPriority w:val="34"/>
    <w:qFormat/>
    <w:pPr>
      <w:contextualSpacing/>
      <w:ind w:left="720"/>
    </w:pPr>
  </w:style>
  <w:style w:type="paragraph" w:styleId="858">
    <w:name w:val="Balloon Text"/>
    <w:basedOn w:val="677"/>
    <w:link w:val="859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59" w:customStyle="1">
    <w:name w:val="Текст выноски Знак"/>
    <w:basedOn w:val="687"/>
    <w:link w:val="858"/>
    <w:uiPriority w:val="99"/>
    <w:semiHidden/>
    <w:rPr>
      <w:rFonts w:ascii="Tahoma" w:hAnsi="Tahoma" w:eastAsia="Calibri" w:cs="Tahoma"/>
      <w:sz w:val="16"/>
      <w:szCs w:val="16"/>
    </w:rPr>
  </w:style>
  <w:style w:type="character" w:styleId="860">
    <w:name w:val="annotation reference"/>
    <w:basedOn w:val="687"/>
    <w:uiPriority w:val="99"/>
    <w:semiHidden/>
    <w:unhideWhenUsed/>
    <w:rPr>
      <w:sz w:val="16"/>
      <w:szCs w:val="16"/>
    </w:rPr>
  </w:style>
  <w:style w:type="paragraph" w:styleId="861">
    <w:name w:val="annotation text"/>
    <w:basedOn w:val="677"/>
    <w:link w:val="862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862" w:customStyle="1">
    <w:name w:val="Текст примечания Знак"/>
    <w:basedOn w:val="687"/>
    <w:link w:val="861"/>
    <w:uiPriority w:val="99"/>
    <w:semiHidden/>
    <w:rPr>
      <w:rFonts w:ascii="Calibri" w:hAnsi="Calibri" w:eastAsia="Calibri" w:cs="Times New Roman"/>
      <w:sz w:val="20"/>
      <w:szCs w:val="20"/>
    </w:rPr>
  </w:style>
  <w:style w:type="paragraph" w:styleId="863">
    <w:name w:val="annotation subject"/>
    <w:basedOn w:val="861"/>
    <w:next w:val="861"/>
    <w:link w:val="864"/>
    <w:uiPriority w:val="99"/>
    <w:semiHidden/>
    <w:unhideWhenUsed/>
    <w:rPr>
      <w:b/>
      <w:bCs/>
    </w:rPr>
  </w:style>
  <w:style w:type="character" w:styleId="864" w:customStyle="1">
    <w:name w:val="Тема примечания Знак"/>
    <w:basedOn w:val="862"/>
    <w:link w:val="863"/>
    <w:uiPriority w:val="99"/>
    <w:semiHidden/>
    <w:rPr>
      <w:rFonts w:ascii="Calibri" w:hAnsi="Calibri" w:eastAsia="Calibri" w:cs="Times New Roman"/>
      <w:b/>
      <w:bCs/>
      <w:sz w:val="20"/>
      <w:szCs w:val="20"/>
    </w:rPr>
  </w:style>
  <w:style w:type="paragraph" w:styleId="865">
    <w:name w:val="Revision"/>
    <w:hidden/>
    <w:uiPriority w:val="99"/>
    <w:semiHidden/>
    <w:pPr>
      <w:spacing w:after="0" w:line="240" w:lineRule="auto"/>
    </w:pPr>
    <w:rPr>
      <w:rFonts w:ascii="Calibri" w:hAnsi="Calibri" w:eastAsia="Calibri" w:cs="Times New Roman"/>
    </w:rPr>
  </w:style>
  <w:style w:type="character" w:styleId="866">
    <w:name w:val="Hyperlink"/>
    <w:basedOn w:val="687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E9233-7B7E-42A2-9048-3DE2EB6BE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Котова Ольга</dc:creator>
  <cp:revision>20</cp:revision>
  <dcterms:created xsi:type="dcterms:W3CDTF">2023-02-06T11:01:00Z</dcterms:created>
  <dcterms:modified xsi:type="dcterms:W3CDTF">2025-05-13T04:23:36Z</dcterms:modified>
</cp:coreProperties>
</file>